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3109" w14:textId="77777777" w:rsidR="0094543B" w:rsidRDefault="008621C6">
      <w:pPr>
        <w:pBdr>
          <w:top w:val="single" w:sz="4" w:space="1" w:color="000000"/>
          <w:bottom w:val="single" w:sz="4" w:space="1" w:color="000000"/>
        </w:pBdr>
        <w:shd w:val="clear" w:color="auto" w:fill="262626"/>
        <w:jc w:val="center"/>
        <w:rPr>
          <w:b/>
          <w:smallCaps/>
        </w:rPr>
      </w:pPr>
      <w:r>
        <w:rPr>
          <w:b/>
          <w:smallCaps/>
        </w:rPr>
        <w:t>Instructions</w:t>
      </w:r>
    </w:p>
    <w:p w14:paraId="7F8CF624" w14:textId="77777777" w:rsidR="0094543B" w:rsidRDefault="008621C6">
      <w:pPr>
        <w:pBdr>
          <w:bottom w:val="single" w:sz="4" w:space="1" w:color="000000"/>
        </w:pBdr>
      </w:pPr>
      <w:r>
        <w:t xml:space="preserve">Please supply requested information in the blue-shaded areas and indicate any attachments that have been included.  Where appropriate, supporting documentation may be referenced by specific page and/or paragraph number(s). </w:t>
      </w:r>
    </w:p>
    <w:p w14:paraId="5DCBB50B" w14:textId="77777777" w:rsidR="0094543B" w:rsidRDefault="0094543B">
      <w:pPr>
        <w:pBdr>
          <w:bottom w:val="single" w:sz="4" w:space="1" w:color="000000"/>
        </w:pBdr>
      </w:pPr>
    </w:p>
    <w:p w14:paraId="6AED4B79" w14:textId="77777777" w:rsidR="0094543B" w:rsidRDefault="008621C6">
      <w:pPr>
        <w:pBdr>
          <w:bottom w:val="single" w:sz="4" w:space="1" w:color="000000"/>
        </w:pBdr>
        <w:rPr>
          <w:b/>
        </w:rPr>
      </w:pPr>
      <w:r>
        <w:rPr>
          <w:b/>
        </w:rPr>
        <w:t>If any of this response contains confidential information, as defined by IC 5-14-3, provide a separate redacted (for public release) version of this document.  Specify which statutory exception of APRA applies and provide a description explaining the manner in which the statutory exception to the APRA applies.</w:t>
      </w:r>
    </w:p>
    <w:p w14:paraId="2C75510D" w14:textId="77777777" w:rsidR="0094543B" w:rsidRDefault="0094543B">
      <w:pPr>
        <w:rPr>
          <w:b/>
          <w:smallCaps/>
          <w:color w:val="000000"/>
        </w:rPr>
      </w:pPr>
    </w:p>
    <w:p w14:paraId="2BB32F5F" w14:textId="77777777" w:rsidR="0094543B" w:rsidRDefault="008621C6">
      <w:pPr>
        <w:rPr>
          <w:b/>
          <w:smallCaps/>
          <w:color w:val="000000"/>
        </w:rPr>
      </w:pPr>
      <w:r>
        <w:rPr>
          <w:b/>
          <w:smallCaps/>
          <w:color w:val="000000"/>
          <w:u w:val="single"/>
        </w:rPr>
        <w:t>Respondent Name</w:t>
      </w:r>
      <w:r>
        <w:rPr>
          <w:b/>
          <w:smallCaps/>
          <w:color w:val="000000"/>
        </w:rPr>
        <w:t>: Mainline Information Systems, Inc.</w:t>
      </w:r>
    </w:p>
    <w:p w14:paraId="27494401" w14:textId="77777777" w:rsidR="0094543B" w:rsidRDefault="0094543B">
      <w:pPr>
        <w:rPr>
          <w:b/>
          <w:color w:val="000000"/>
        </w:rPr>
      </w:pPr>
    </w:p>
    <w:tbl>
      <w:tblPr>
        <w:tblStyle w:val="a0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210"/>
        <w:gridCol w:w="6295"/>
      </w:tblGrid>
      <w:tr w:rsidR="0094543B" w14:paraId="044F3131" w14:textId="77777777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C29808" w14:textId="615D6E82" w:rsidR="0094543B" w:rsidRDefault="008621C6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 xml:space="preserve">Attachment </w:t>
            </w:r>
            <w:r w:rsidR="00EA7F48">
              <w:rPr>
                <w:b/>
                <w:smallCaps/>
                <w:color w:val="000000"/>
              </w:rPr>
              <w:t>E</w:t>
            </w:r>
            <w:r>
              <w:rPr>
                <w:b/>
                <w:smallCaps/>
                <w:color w:val="000000"/>
              </w:rPr>
              <w:t xml:space="preserve"> – </w:t>
            </w:r>
            <w:r w:rsidR="00EA7F48">
              <w:rPr>
                <w:b/>
                <w:smallCaps/>
                <w:color w:val="000000"/>
              </w:rPr>
              <w:t>Business Proposal</w:t>
            </w:r>
          </w:p>
        </w:tc>
      </w:tr>
      <w:tr w:rsidR="0094543B" w14:paraId="2718B453" w14:textId="77777777">
        <w:trPr>
          <w:trHeight w:val="485"/>
          <w:tblHeader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1"/>
              <w:id w:val="-1594076657"/>
            </w:sdtPr>
            <w:sdtContent>
              <w:p w14:paraId="6D1EE6CF" w14:textId="77777777" w:rsidR="0094543B" w:rsidRPr="00035D6D" w:rsidRDefault="00000000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0"/>
                    <w:id w:val="2009484606"/>
                  </w:sdtPr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Section Number</w:t>
                    </w:r>
                  </w:sdtContent>
                </w:sdt>
              </w:p>
            </w:sdtContent>
          </w:sdt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3"/>
              <w:id w:val="1534688552"/>
            </w:sdtPr>
            <w:sdtContent>
              <w:p w14:paraId="55899460" w14:textId="77777777" w:rsidR="0094543B" w:rsidRPr="00035D6D" w:rsidRDefault="00000000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2"/>
                    <w:id w:val="1747687422"/>
                  </w:sdtPr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Clarification Question</w:t>
                    </w:r>
                  </w:sdtContent>
                </w:sdt>
              </w:p>
            </w:sdtContent>
          </w:sdt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1A0E0669" w14:textId="77777777" w:rsidR="0094543B" w:rsidRDefault="008621C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Respondent Response</w:t>
            </w:r>
          </w:p>
        </w:tc>
      </w:tr>
      <w:tr w:rsidR="0094543B" w14:paraId="3696DF63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9CAA73F" w14:textId="14C7D895" w:rsidR="0094543B" w:rsidRDefault="008621C6" w:rsidP="00EA7F48">
            <w:pPr>
              <w:jc w:val="center"/>
            </w:pPr>
            <w:r>
              <w:t xml:space="preserve">II. </w:t>
            </w:r>
            <w:r w:rsidR="00EA7F48">
              <w:t>General Respondent’s DEI Informaton, Company Financial Information, Integrity of Company Structure and Financial Reporting, and All Other Sections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7F0695" w14:textId="77B5AD91" w:rsidR="0094543B" w:rsidRPr="00EA7F48" w:rsidRDefault="00EA7F48">
            <w:r>
              <w:t xml:space="preserve">Please </w:t>
            </w:r>
            <w:r w:rsidR="0096596E">
              <w:t>clarify</w:t>
            </w:r>
            <w:r>
              <w:t xml:space="preserve"> the relationship between Mainline, BMC, and VPMA Global Services.</w:t>
            </w:r>
            <w:r w:rsidR="0096596E">
              <w:t xml:space="preserve"> What roles </w:t>
            </w:r>
            <w:r w:rsidR="009812D5">
              <w:t>will</w:t>
            </w:r>
            <w:r w:rsidR="0096596E">
              <w:t xml:space="preserve"> each entity play </w:t>
            </w:r>
            <w:r w:rsidR="009812D5">
              <w:t>during</w:t>
            </w:r>
            <w:r w:rsidR="0096596E">
              <w:t xml:space="preserve"> implementation and </w:t>
            </w:r>
            <w:r w:rsidR="00C7618D">
              <w:t>in</w:t>
            </w:r>
            <w:r w:rsidR="0096596E">
              <w:t xml:space="preserve"> ongoing maintenance and support?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1A2C7525" w14:textId="3EAA7758" w:rsidR="009415DC" w:rsidRDefault="009415DC" w:rsidP="00C423D6"/>
        </w:tc>
      </w:tr>
      <w:tr w:rsidR="0094543B" w14:paraId="335FE188" w14:textId="77777777" w:rsidTr="007E1099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5504B5BA" w14:textId="1FF8D570" w:rsidR="0094543B" w:rsidRDefault="008621C6">
            <w:pPr>
              <w:jc w:val="center"/>
            </w:pPr>
            <w:r>
              <w:t>I</w:t>
            </w:r>
            <w:r w:rsidR="00C52048">
              <w:t>II</w:t>
            </w:r>
            <w:r>
              <w:t xml:space="preserve">. </w:t>
            </w:r>
            <w:r w:rsidR="00EA7F48">
              <w:t>References, Experiences Serving State Governments, and Experience Serving Similar Clients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BC7577" w14:textId="5080EC8C" w:rsidR="0094543B" w:rsidRDefault="00EA7F48">
            <w:r>
              <w:t xml:space="preserve">Please </w:t>
            </w:r>
            <w:r w:rsidR="0096596E">
              <w:t>clarify if</w:t>
            </w:r>
            <w:r w:rsidR="0052641E">
              <w:t xml:space="preserve"> </w:t>
            </w:r>
            <w:r>
              <w:t xml:space="preserve">your </w:t>
            </w:r>
            <w:r w:rsidR="009812D5">
              <w:t>references have</w:t>
            </w:r>
            <w:r>
              <w:t xml:space="preserve"> submitted their </w:t>
            </w:r>
            <w:r w:rsidR="00EA2C78">
              <w:t>Attachment H – Reference Check Form</w:t>
            </w:r>
            <w:r>
              <w:t xml:space="preserve"> to </w:t>
            </w:r>
            <w:r w:rsidR="00FE321A">
              <w:t>the State</w:t>
            </w:r>
            <w:r w:rsidR="0096596E">
              <w:t xml:space="preserve"> to the email address </w:t>
            </w:r>
            <w:hyperlink r:id="rId10" w:history="1">
              <w:r w:rsidR="00C7618D" w:rsidRPr="00C7618D">
                <w:rPr>
                  <w:rStyle w:val="Hyperlink"/>
                </w:rPr>
                <w:t>mailto:idoareferences@idoa.in.gov</w:t>
              </w:r>
            </w:hyperlink>
            <w:r>
              <w:t xml:space="preserve">. </w:t>
            </w:r>
            <w:r w:rsidR="00EC39D4">
              <w:t xml:space="preserve"> 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48F3285A" w14:textId="3C87BEAB" w:rsidR="00C77353" w:rsidRDefault="00C77353" w:rsidP="00691604"/>
        </w:tc>
      </w:tr>
    </w:tbl>
    <w:p w14:paraId="5A944A6B" w14:textId="77777777" w:rsidR="002506BF" w:rsidRDefault="002506BF" w:rsidP="002506B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b/>
          <w:bCs/>
          <w:u w:val="single"/>
        </w:rPr>
      </w:pPr>
    </w:p>
    <w:tbl>
      <w:tblPr>
        <w:tblStyle w:val="a0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210"/>
        <w:gridCol w:w="6295"/>
      </w:tblGrid>
      <w:tr w:rsidR="00347A75" w14:paraId="3946B916" w14:textId="77777777" w:rsidTr="00007106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153DCB3" w14:textId="4051E746" w:rsidR="00347A75" w:rsidRDefault="00347A75" w:rsidP="00007106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Attachment F – Technical Proposal</w:t>
            </w:r>
          </w:p>
        </w:tc>
      </w:tr>
      <w:tr w:rsidR="00347A75" w14:paraId="4AAE7ED0" w14:textId="77777777" w:rsidTr="00007106">
        <w:trPr>
          <w:trHeight w:val="485"/>
          <w:tblHeader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1"/>
              <w:id w:val="1308200753"/>
            </w:sdtPr>
            <w:sdtContent>
              <w:p w14:paraId="693756C8" w14:textId="77777777" w:rsidR="00347A75" w:rsidRPr="00035D6D" w:rsidRDefault="00000000" w:rsidP="00007106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0"/>
                    <w:id w:val="-1547519968"/>
                  </w:sdtPr>
                  <w:sdtContent>
                    <w:r w:rsidR="00347A75" w:rsidRPr="00035D6D">
                      <w:rPr>
                        <w:b/>
                        <w:smallCaps/>
                        <w:color w:val="FFFFFF"/>
                      </w:rPr>
                      <w:t>Section Number</w:t>
                    </w:r>
                  </w:sdtContent>
                </w:sdt>
              </w:p>
            </w:sdtContent>
          </w:sdt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3"/>
              <w:id w:val="82120562"/>
            </w:sdtPr>
            <w:sdtContent>
              <w:p w14:paraId="0B09360A" w14:textId="77777777" w:rsidR="00347A75" w:rsidRPr="00035D6D" w:rsidRDefault="00000000" w:rsidP="00007106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2"/>
                    <w:id w:val="-876773329"/>
                  </w:sdtPr>
                  <w:sdtContent>
                    <w:r w:rsidR="00347A75" w:rsidRPr="00035D6D">
                      <w:rPr>
                        <w:b/>
                        <w:smallCaps/>
                        <w:color w:val="FFFFFF"/>
                      </w:rPr>
                      <w:t>Clarification Question</w:t>
                    </w:r>
                  </w:sdtContent>
                </w:sdt>
              </w:p>
            </w:sdtContent>
          </w:sdt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7B6AC903" w14:textId="77777777" w:rsidR="00347A75" w:rsidRDefault="00347A75" w:rsidP="0000710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Respondent Response</w:t>
            </w:r>
          </w:p>
        </w:tc>
      </w:tr>
      <w:tr w:rsidR="00347A75" w14:paraId="66A8FD37" w14:textId="77777777" w:rsidTr="00007106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1737B1E9" w14:textId="3CE5E61C" w:rsidR="00347A75" w:rsidRDefault="00347A75" w:rsidP="00007106">
            <w:pPr>
              <w:jc w:val="center"/>
            </w:pPr>
            <w:r>
              <w:t>I</w:t>
            </w:r>
            <w:r w:rsidR="00FE321A">
              <w:t>I</w:t>
            </w:r>
            <w:r>
              <w:t xml:space="preserve">I. </w:t>
            </w:r>
            <w:r w:rsidRPr="00347A75">
              <w:t>Introduction, About IOT and Current State, Future State Goals and General Project Requirements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EB0F4B6" w14:textId="31E40558" w:rsidR="00347A75" w:rsidRDefault="00347A75" w:rsidP="00007106">
            <w:r>
              <w:t>Please c</w:t>
            </w:r>
            <w:r w:rsidR="0096596E">
              <w:t>larify</w:t>
            </w:r>
            <w:r>
              <w:t xml:space="preserve"> who will be providing 24x7 support</w:t>
            </w:r>
            <w:r w:rsidR="004C4439">
              <w:t xml:space="preserve"> to the State</w:t>
            </w:r>
            <w:r>
              <w:t xml:space="preserve"> (BMC, Mainline or VPMA Global Services).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75A8C560" w14:textId="77777777" w:rsidR="00347A75" w:rsidRDefault="00347A75" w:rsidP="00007106"/>
        </w:tc>
      </w:tr>
      <w:tr w:rsidR="006E1CC4" w14:paraId="69483B00" w14:textId="77777777" w:rsidTr="00007106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2B96EA00" w14:textId="7947EAFC" w:rsidR="006E1CC4" w:rsidRDefault="006E1CC4" w:rsidP="00007106">
            <w:pPr>
              <w:jc w:val="center"/>
            </w:pPr>
            <w:bookmarkStart w:id="0" w:name="_Hlk109195569"/>
            <w:r>
              <w:t xml:space="preserve">V. </w:t>
            </w:r>
            <w:r w:rsidRPr="006E1CC4">
              <w:t>Transition, Project Management, Implementation, and Training and End of Contract Turnover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9BCD3A" w14:textId="16855F2C" w:rsidR="006E1CC4" w:rsidRDefault="006E1CC4" w:rsidP="00007106">
            <w:r>
              <w:t xml:space="preserve">Please clarify your proposed approach to training IOT staff to use the proposed solution tools described in your project management and training plan. </w:t>
            </w:r>
            <w:r w:rsidR="000D1E06">
              <w:t xml:space="preserve">Please detail your methodology, timeline, and expected commitments for State staff to be proficient with the proposed tools. 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0F1D1200" w14:textId="77777777" w:rsidR="006E1CC4" w:rsidRDefault="006E1CC4" w:rsidP="00007106"/>
        </w:tc>
      </w:tr>
      <w:bookmarkEnd w:id="0"/>
      <w:tr w:rsidR="006E1CC4" w14:paraId="7840879F" w14:textId="77777777" w:rsidTr="00007106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9230757" w14:textId="15A0C77F" w:rsidR="006E1CC4" w:rsidRDefault="006E1CC4" w:rsidP="00007106">
            <w:pPr>
              <w:jc w:val="center"/>
            </w:pPr>
            <w:r>
              <w:t>V</w:t>
            </w:r>
            <w:r w:rsidR="000D1E06">
              <w:t>I</w:t>
            </w:r>
            <w:r>
              <w:t>I. Staffing and System Maintenance and Operations (M&amp;O)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FDD8CF1" w14:textId="64EB94DC" w:rsidR="006E1CC4" w:rsidRDefault="006E1CC4" w:rsidP="00007106">
            <w:r>
              <w:t xml:space="preserve">Please </w:t>
            </w:r>
            <w:r w:rsidR="0096596E">
              <w:t>clarify</w:t>
            </w:r>
            <w:r>
              <w:t xml:space="preserve"> what is </w:t>
            </w:r>
            <w:r w:rsidR="0024213E">
              <w:t xml:space="preserve">and what is not </w:t>
            </w:r>
            <w:r>
              <w:t>covered</w:t>
            </w:r>
            <w:r w:rsidR="006C5651">
              <w:t xml:space="preserve"> in the proposed solution</w:t>
            </w:r>
            <w:r>
              <w:t xml:space="preserve"> under the one-year warranty</w:t>
            </w:r>
            <w:r w:rsidR="0024213E">
              <w:t xml:space="preserve"> </w:t>
            </w:r>
            <w:r w:rsidR="0096596E">
              <w:t>mentioned in your response.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0174C89B" w14:textId="77777777" w:rsidR="006E1CC4" w:rsidRDefault="006E1CC4" w:rsidP="00007106"/>
        </w:tc>
      </w:tr>
      <w:tr w:rsidR="006C5651" w14:paraId="30ECBFA3" w14:textId="77777777" w:rsidTr="00007106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4D7CD703" w14:textId="5F741A98" w:rsidR="006C5651" w:rsidRDefault="000D1E06" w:rsidP="00007106">
            <w:pPr>
              <w:jc w:val="center"/>
            </w:pPr>
            <w:r>
              <w:t>VIII. Business Continuity and Disaster Recovery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516CCD" w14:textId="0E2D1F6A" w:rsidR="006C5651" w:rsidRDefault="000D1E06" w:rsidP="00007106">
            <w:r>
              <w:t xml:space="preserve">Please </w:t>
            </w:r>
            <w:r w:rsidR="00C7618D">
              <w:t>clarify how</w:t>
            </w:r>
            <w:r>
              <w:t xml:space="preserve"> </w:t>
            </w:r>
            <w:r w:rsidR="002F33FA">
              <w:t>BMC</w:t>
            </w:r>
            <w:r>
              <w:t xml:space="preserve"> will provide support </w:t>
            </w:r>
            <w:r w:rsidR="00C7618D">
              <w:t>to the State in a BC/DR situation</w:t>
            </w:r>
            <w:r w:rsidR="002F33FA">
              <w:t xml:space="preserve">. </w:t>
            </w:r>
            <w:r w:rsidR="00056623">
              <w:t xml:space="preserve"> Please clarify how </w:t>
            </w:r>
            <w:r w:rsidR="00C7618D">
              <w:t>Mainline</w:t>
            </w:r>
            <w:r w:rsidR="00C073C7">
              <w:t xml:space="preserve"> will support the State in a BC/DR situation. What duties will </w:t>
            </w:r>
            <w:r w:rsidR="00C0182E">
              <w:t>you execute? What are your assumed responsibilities of the State?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53C7BEBA" w14:textId="77777777" w:rsidR="006C5651" w:rsidRDefault="006C5651" w:rsidP="00007106"/>
        </w:tc>
      </w:tr>
      <w:tr w:rsidR="000D1E06" w14:paraId="5E7F426E" w14:textId="77777777" w:rsidTr="00007106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5B8C0EE9" w14:textId="657AF7B8" w:rsidR="000D1E06" w:rsidRDefault="000D1E06" w:rsidP="00007106">
            <w:pPr>
              <w:jc w:val="center"/>
            </w:pPr>
            <w:r>
              <w:t>VIII. Business Continuity and Disaster Recovery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724EC2B" w14:textId="3170B331" w:rsidR="000D1E06" w:rsidRDefault="002F33FA" w:rsidP="00007106">
            <w:r>
              <w:t>Please clarify if the Disaster Recovery</w:t>
            </w:r>
            <w:r w:rsidR="0096596E">
              <w:t xml:space="preserve"> training</w:t>
            </w:r>
            <w:r>
              <w:t xml:space="preserve"> team is include</w:t>
            </w:r>
            <w:r w:rsidR="004C4439">
              <w:t>d</w:t>
            </w:r>
            <w:r>
              <w:t xml:space="preserve"> in the training. 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4E84FA32" w14:textId="77777777" w:rsidR="000D1E06" w:rsidRDefault="000D1E06" w:rsidP="00007106"/>
        </w:tc>
      </w:tr>
    </w:tbl>
    <w:p w14:paraId="639CF711" w14:textId="77777777" w:rsidR="0094543B" w:rsidRPr="00347A75" w:rsidRDefault="0094543B" w:rsidP="009905F8">
      <w:pPr>
        <w:rPr>
          <w:b/>
          <w:iCs/>
          <w:smallCaps/>
        </w:rPr>
      </w:pPr>
    </w:p>
    <w:sectPr w:rsidR="0094543B" w:rsidRPr="00347A75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7E554" w14:textId="77777777" w:rsidR="00D82A8B" w:rsidRDefault="00D82A8B">
      <w:pPr>
        <w:spacing w:line="240" w:lineRule="auto"/>
      </w:pPr>
      <w:r>
        <w:separator/>
      </w:r>
    </w:p>
  </w:endnote>
  <w:endnote w:type="continuationSeparator" w:id="0">
    <w:p w14:paraId="3F7EF8DC" w14:textId="77777777" w:rsidR="00D82A8B" w:rsidRDefault="00D82A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F162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  <w:sz w:val="12"/>
        <w:szCs w:val="12"/>
      </w:rPr>
    </w:pPr>
  </w:p>
  <w:p w14:paraId="2BCB2CB2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3395"/>
        <w:tab w:val="right" w:pos="14400"/>
      </w:tabs>
      <w:spacing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5AF9" w14:textId="77777777" w:rsidR="00D82A8B" w:rsidRDefault="00D82A8B">
      <w:pPr>
        <w:spacing w:line="240" w:lineRule="auto"/>
      </w:pPr>
      <w:r>
        <w:separator/>
      </w:r>
    </w:p>
  </w:footnote>
  <w:footnote w:type="continuationSeparator" w:id="0">
    <w:p w14:paraId="496C7964" w14:textId="77777777" w:rsidR="00D82A8B" w:rsidRDefault="00D82A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FE14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smallCaps/>
        <w:color w:val="000000"/>
        <w:u w:val="single"/>
      </w:rPr>
    </w:pPr>
    <w:r>
      <w:rPr>
        <w:b/>
        <w:smallCaps/>
        <w:color w:val="000000"/>
        <w:u w:val="single"/>
      </w:rPr>
      <w:t>RFP 22-70621 Clarifications</w:t>
    </w:r>
  </w:p>
  <w:p w14:paraId="67871E34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color w:val="000000"/>
        <w:sz w:val="12"/>
        <w:szCs w:val="1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3B"/>
    <w:rsid w:val="00010143"/>
    <w:rsid w:val="00035D6D"/>
    <w:rsid w:val="000377F3"/>
    <w:rsid w:val="00056623"/>
    <w:rsid w:val="000D1E06"/>
    <w:rsid w:val="00112920"/>
    <w:rsid w:val="00163870"/>
    <w:rsid w:val="001A678E"/>
    <w:rsid w:val="001C6322"/>
    <w:rsid w:val="001E3C74"/>
    <w:rsid w:val="001F18A3"/>
    <w:rsid w:val="001F7AF2"/>
    <w:rsid w:val="0024213E"/>
    <w:rsid w:val="002506BF"/>
    <w:rsid w:val="00252375"/>
    <w:rsid w:val="00263A8F"/>
    <w:rsid w:val="00290879"/>
    <w:rsid w:val="002F33FA"/>
    <w:rsid w:val="00314702"/>
    <w:rsid w:val="00347A75"/>
    <w:rsid w:val="00373190"/>
    <w:rsid w:val="003C1092"/>
    <w:rsid w:val="004A11A4"/>
    <w:rsid w:val="004C4439"/>
    <w:rsid w:val="004E45B5"/>
    <w:rsid w:val="0052641E"/>
    <w:rsid w:val="005A09B6"/>
    <w:rsid w:val="005B4E8E"/>
    <w:rsid w:val="005C10CB"/>
    <w:rsid w:val="005C4074"/>
    <w:rsid w:val="00653659"/>
    <w:rsid w:val="00691604"/>
    <w:rsid w:val="006A0308"/>
    <w:rsid w:val="006C5651"/>
    <w:rsid w:val="006D2138"/>
    <w:rsid w:val="006E1CC4"/>
    <w:rsid w:val="007509FB"/>
    <w:rsid w:val="0075608D"/>
    <w:rsid w:val="007D6F23"/>
    <w:rsid w:val="007E1099"/>
    <w:rsid w:val="007F3DE7"/>
    <w:rsid w:val="0084466B"/>
    <w:rsid w:val="008621C6"/>
    <w:rsid w:val="00863A8C"/>
    <w:rsid w:val="00872C19"/>
    <w:rsid w:val="008901EF"/>
    <w:rsid w:val="008A3BC9"/>
    <w:rsid w:val="008A5941"/>
    <w:rsid w:val="008D4993"/>
    <w:rsid w:val="009415DC"/>
    <w:rsid w:val="0094543B"/>
    <w:rsid w:val="0096596E"/>
    <w:rsid w:val="00974946"/>
    <w:rsid w:val="009812D5"/>
    <w:rsid w:val="009905F8"/>
    <w:rsid w:val="009B3EF0"/>
    <w:rsid w:val="00A019B9"/>
    <w:rsid w:val="00A63E97"/>
    <w:rsid w:val="00A741AD"/>
    <w:rsid w:val="00AA20B8"/>
    <w:rsid w:val="00AB1EC4"/>
    <w:rsid w:val="00AF2355"/>
    <w:rsid w:val="00B0058F"/>
    <w:rsid w:val="00BB1CFC"/>
    <w:rsid w:val="00BD0812"/>
    <w:rsid w:val="00BD6F23"/>
    <w:rsid w:val="00C0182E"/>
    <w:rsid w:val="00C073C7"/>
    <w:rsid w:val="00C15CB2"/>
    <w:rsid w:val="00C17F71"/>
    <w:rsid w:val="00C26466"/>
    <w:rsid w:val="00C3347E"/>
    <w:rsid w:val="00C423D6"/>
    <w:rsid w:val="00C52048"/>
    <w:rsid w:val="00C7618D"/>
    <w:rsid w:val="00C77353"/>
    <w:rsid w:val="00C77C15"/>
    <w:rsid w:val="00C902B8"/>
    <w:rsid w:val="00CD09C6"/>
    <w:rsid w:val="00CF12C3"/>
    <w:rsid w:val="00CF2299"/>
    <w:rsid w:val="00D82A8B"/>
    <w:rsid w:val="00DC72ED"/>
    <w:rsid w:val="00E1023D"/>
    <w:rsid w:val="00E77339"/>
    <w:rsid w:val="00EA134B"/>
    <w:rsid w:val="00EA2C78"/>
    <w:rsid w:val="00EA7224"/>
    <w:rsid w:val="00EA7F48"/>
    <w:rsid w:val="00EB1672"/>
    <w:rsid w:val="00EB5FA5"/>
    <w:rsid w:val="00EC0DBD"/>
    <w:rsid w:val="00EC39D4"/>
    <w:rsid w:val="00F061A5"/>
    <w:rsid w:val="00F56C66"/>
    <w:rsid w:val="00F73993"/>
    <w:rsid w:val="00FE28EF"/>
    <w:rsid w:val="00FE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F48B"/>
  <w15:docId w15:val="{6C478FFF-77A9-446A-B6F2-2F7DB01C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D3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4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4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AE"/>
    <w:rPr>
      <w:b/>
      <w:bCs/>
      <w:sz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7D6F23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C761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6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idoareferences@idoa.in.gov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306AC54AF6AB4FB4DDE3300767DDE2" ma:contentTypeVersion="9" ma:contentTypeDescription="Create a new document." ma:contentTypeScope="" ma:versionID="4c9f2a4d6096247101b9c3555f6bd3f8">
  <xsd:schema xmlns:xsd="http://www.w3.org/2001/XMLSchema" xmlns:xs="http://www.w3.org/2001/XMLSchema" xmlns:p="http://schemas.microsoft.com/office/2006/metadata/properties" xmlns:ns2="13982626-5837-4194-9999-b4f9ccea9de4" xmlns:ns3="c506cedc-400a-42c5-9486-a0adc8ac9edd" xmlns:ns4="ddb5066c-6899-482b-9ea0-5145f9da9989" targetNamespace="http://schemas.microsoft.com/office/2006/metadata/properties" ma:root="true" ma:fieldsID="e6dd3c8180ba8e347af1e3c8c4e95d51" ns2:_="" ns3:_="" ns4:_="">
    <xsd:import namespace="13982626-5837-4194-9999-b4f9ccea9de4"/>
    <xsd:import namespace="c506cedc-400a-42c5-9486-a0adc8ac9edd"/>
    <xsd:import namespace="ddb5066c-6899-482b-9ea0-5145f9da99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982626-5837-4194-9999-b4f9ccea9d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6cedc-400a-42c5-9486-a0adc8ac9e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b5066c-6899-482b-9ea0-5145f9da998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30bb22c-37b0-45e4-8796-2da9bd6ca82a}" ma:internalName="TaxCatchAll" ma:showField="CatchAllData" ma:web="c506cedc-400a-42c5-9486-a0adc8ac9e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982626-5837-4194-9999-b4f9ccea9de4">
      <Terms xmlns="http://schemas.microsoft.com/office/infopath/2007/PartnerControls"/>
    </lcf76f155ced4ddcb4097134ff3c332f>
    <TaxCatchAll xmlns="ddb5066c-6899-482b-9ea0-5145f9da998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zWWYnqZZ9MBOuDq7MsQ8ypyHQ==">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</go:docsCustomData>
</go:gDocsCustomXmlDataStorage>
</file>

<file path=customXml/itemProps1.xml><?xml version="1.0" encoding="utf-8"?>
<ds:datastoreItem xmlns:ds="http://schemas.openxmlformats.org/officeDocument/2006/customXml" ds:itemID="{D1FE8C6E-427F-4C07-BB68-A51DE53ACC26}"/>
</file>

<file path=customXml/itemProps2.xml><?xml version="1.0" encoding="utf-8"?>
<ds:datastoreItem xmlns:ds="http://schemas.openxmlformats.org/officeDocument/2006/customXml" ds:itemID="{A177FA08-798E-449E-ADAE-46742749187B}">
  <ds:schemaRefs>
    <ds:schemaRef ds:uri="http://schemas.microsoft.com/office/2006/metadata/properties"/>
    <ds:schemaRef ds:uri="http://schemas.microsoft.com/office/infopath/2007/PartnerControls"/>
    <ds:schemaRef ds:uri="997ebb70-1fe4-4eaf-83ef-60f6648f0c18"/>
  </ds:schemaRefs>
</ds:datastoreItem>
</file>

<file path=customXml/itemProps3.xml><?xml version="1.0" encoding="utf-8"?>
<ds:datastoreItem xmlns:ds="http://schemas.openxmlformats.org/officeDocument/2006/customXml" ds:itemID="{11CC67AB-636C-4F9C-9445-C7A895C6F5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S</dc:creator>
  <cp:lastModifiedBy>dt</cp:lastModifiedBy>
  <cp:revision>2</cp:revision>
  <dcterms:created xsi:type="dcterms:W3CDTF">2022-07-20T15:48:00Z</dcterms:created>
  <dcterms:modified xsi:type="dcterms:W3CDTF">2022-07-20T15:48:00Z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0x010100DE306AC54AF6AB4FB4DDE3300767DDE2</vt:lpwstr>
  </property>
</Properties>
</file>